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Техническое задание на оказание услуг</w:t>
      </w:r>
    </w:p>
    <w:p>
      <w:pPr>
        <w:spacing w:line="240" w:lineRule="auto"/>
        <w:rPr>
          <w:rFonts w:hAnsi="Times New Roman" w:cs="Times New Roman"/>
          <w:color w:val="000000"/>
          <w:sz w:val="24"/>
          <w:szCs w:val="24"/>
        </w:rPr>
      </w:pPr>
      <w:r>
        <w:rPr>
          <w:rFonts w:hAnsi="Times New Roman" w:cs="Times New Roman"/>
          <w:b/>
          <w:bCs/>
          <w:color w:val="000000"/>
          <w:sz w:val="24"/>
          <w:szCs w:val="24"/>
        </w:rPr>
        <w:t>Наименование объекта закупки:</w:t>
      </w:r>
      <w:r>
        <w:rPr>
          <w:rFonts w:hAnsi="Times New Roman" w:cs="Times New Roman"/>
          <w:color w:val="000000"/>
          <w:sz w:val="24"/>
          <w:szCs w:val="24"/>
        </w:rPr>
        <w:t xml:space="preserve"> оказание услуг по предоставлению лицензий на право использовать компьютерное программное обеспечение.</w:t>
      </w:r>
    </w:p>
    <w:p>
      <w:pPr>
        <w:spacing w:line="240" w:lineRule="auto"/>
        <w:rPr>
          <w:rFonts w:hAnsi="Times New Roman" w:cs="Times New Roman"/>
          <w:color w:val="000000"/>
          <w:sz w:val="24"/>
          <w:szCs w:val="24"/>
        </w:rPr>
      </w:pPr>
      <w:r>
        <w:rPr>
          <w:rFonts w:hAnsi="Times New Roman" w:cs="Times New Roman"/>
          <w:b/>
          <w:bCs/>
          <w:color w:val="000000"/>
          <w:sz w:val="24"/>
          <w:szCs w:val="24"/>
        </w:rPr>
        <w:t>Код ОКПД2:</w:t>
      </w:r>
      <w:r>
        <w:rPr>
          <w:rFonts w:hAnsi="Times New Roman" w:cs="Times New Roman"/>
          <w:color w:val="000000"/>
          <w:sz w:val="24"/>
          <w:szCs w:val="24"/>
        </w:rPr>
        <w:t>58.29.50.000 - услуги по предоставлению лицензий на право использовать компьютерное программное обеспечение</w:t>
      </w:r>
    </w:p>
    <w:p>
      <w:pPr>
        <w:spacing w:line="240" w:lineRule="auto"/>
        <w:rPr>
          <w:rFonts w:hAnsi="Times New Roman" w:cs="Times New Roman"/>
          <w:color w:val="000000"/>
          <w:sz w:val="24"/>
          <w:szCs w:val="24"/>
        </w:rPr>
      </w:pPr>
      <w:r>
        <w:rPr>
          <w:rFonts w:hAnsi="Times New Roman" w:cs="Times New Roman"/>
          <w:b/>
          <w:bCs/>
          <w:color w:val="000000"/>
          <w:sz w:val="24"/>
          <w:szCs w:val="24"/>
        </w:rPr>
        <w:t>Код позиции по КТРУ: 58.29.50.000-00000003</w:t>
      </w:r>
    </w:p>
    <w:p>
      <w:pPr>
        <w:spacing w:line="240" w:lineRule="auto"/>
        <w:rPr>
          <w:rFonts w:hAnsi="Times New Roman" w:cs="Times New Roman"/>
          <w:color w:val="000000"/>
          <w:sz w:val="24"/>
          <w:szCs w:val="24"/>
        </w:rPr>
      </w:pPr>
      <w:r>
        <w:rPr>
          <w:rFonts w:hAnsi="Times New Roman" w:cs="Times New Roman"/>
          <w:b/>
          <w:bCs/>
          <w:color w:val="000000"/>
          <w:sz w:val="24"/>
          <w:szCs w:val="24"/>
        </w:rPr>
        <w:t>Начальная (максимальная) цена контракта:</w:t>
      </w:r>
      <w:r>
        <w:rPr>
          <w:rFonts w:hAnsi="Times New Roman" w:cs="Times New Roman"/>
          <w:color w:val="000000"/>
          <w:sz w:val="24"/>
          <w:szCs w:val="24"/>
        </w:rPr>
        <w:t>49 800 (сорок девять тысяч восемьсот) рублей 00 копеек</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Источник финансирования:</w:t>
      </w:r>
      <w:r>
        <w:rPr>
          <w:rFonts w:hAnsi="Times New Roman" w:cs="Times New Roman"/>
          <w:color w:val="000000"/>
          <w:sz w:val="24"/>
          <w:szCs w:val="24"/>
        </w:rPr>
        <w:t>средства федерального бюджета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Описание объекта закупки</w:t>
      </w:r>
      <w:r>
        <w:rPr>
          <w:rFonts w:hAnsi="Times New Roman" w:cs="Times New Roman"/>
          <w:color w:val="000000"/>
          <w:sz w:val="24"/>
          <w:szCs w:val="24"/>
        </w:rPr>
        <w:t>:</w:t>
      </w:r>
    </w:p>
    <w:tbl>
      <w:tblPr>
        <w:tblW w:w="0" w:type="auto"/>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Наименование объекта закупки</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Описание (характеристики) объекта закупки</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Единица измерения </w:t>
            </w:r>
          </w:p>
        </w:tc>
        <w:tc>
          <w:tcPr>
            <w:tcW w:w="0" w:type="auto"/>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Количество</w:t>
            </w:r>
          </w:p>
        </w:tc>
      </w:tr>
      <w:tr>
        <w:trPr>
          <w:trHeight w:val="0"/>
        </w:trPr>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Услуги по предоставлению лицензий на право использовать компьютерное программное обеспечение</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Kaspersky Endpoint Security для бизнеса - Стандартный Russian Edition. 50-99 Node 1 year Renewal License - продление лицензии</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штука</w:t>
            </w:r>
          </w:p>
        </w:tc>
        <w:tc>
          <w:tcPr>
            <w:tcW w:w="0" w:type="auto"/>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top"/>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Общие требования к оказанию услуг, к передаваемым неисключительным правам и их количеству:</w:t>
      </w:r>
    </w:p>
    <w:p>
      <w:pPr>
        <w:spacing w:line="240" w:lineRule="auto"/>
        <w:rPr>
          <w:rFonts w:hAnsi="Times New Roman" w:cs="Times New Roman"/>
          <w:color w:val="000000"/>
          <w:sz w:val="24"/>
          <w:szCs w:val="24"/>
        </w:rPr>
      </w:pPr>
      <w:r>
        <w:rPr>
          <w:rFonts w:hAnsi="Times New Roman" w:cs="Times New Roman"/>
          <w:color w:val="000000"/>
          <w:sz w:val="24"/>
          <w:szCs w:val="24"/>
        </w:rPr>
        <w:t>Оказание услуг по предоставлению лицензий на право использовать компьютерное программное обеспечение включает в себя: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 Лицензия антивирусной защиты </w:t>
      </w:r>
      <w:r>
        <w:rPr>
          <w:rFonts w:hAnsi="Times New Roman" w:cs="Times New Roman"/>
          <w:color w:val="000000"/>
          <w:sz w:val="24"/>
          <w:szCs w:val="24"/>
        </w:rPr>
        <w:t>Kaspersky Endpoint Security для бизнеса – Стандартный Russian Edition. 10-14 Node 1 year Renewal License</w:t>
      </w:r>
      <w:r>
        <w:rPr>
          <w:rFonts w:hAnsi="Times New Roman" w:cs="Times New Roman"/>
          <w:color w:val="000000"/>
          <w:sz w:val="24"/>
          <w:szCs w:val="24"/>
        </w:rPr>
        <w:t xml:space="preserve"> на </w:t>
      </w:r>
      <w:r>
        <w:rPr>
          <w:rFonts w:hAnsi="Times New Roman" w:cs="Times New Roman"/>
          <w:color w:val="000000"/>
          <w:sz w:val="24"/>
          <w:szCs w:val="24"/>
        </w:rPr>
        <w:t>20</w:t>
      </w:r>
      <w:r>
        <w:rPr>
          <w:rFonts w:hAnsi="Times New Roman" w:cs="Times New Roman"/>
          <w:color w:val="000000"/>
          <w:sz w:val="24"/>
          <w:szCs w:val="24"/>
        </w:rPr>
        <w:t xml:space="preserve"> рабочих мест, сроком действия не менее чем на </w:t>
      </w:r>
      <w:r>
        <w:rPr>
          <w:rFonts w:hAnsi="Times New Roman" w:cs="Times New Roman"/>
          <w:color w:val="000000"/>
          <w:sz w:val="24"/>
          <w:szCs w:val="24"/>
        </w:rPr>
        <w:t>12</w:t>
      </w:r>
      <w:r>
        <w:rPr>
          <w:rFonts w:hAnsi="Times New Roman" w:cs="Times New Roman"/>
          <w:color w:val="000000"/>
          <w:sz w:val="24"/>
          <w:szCs w:val="24"/>
        </w:rPr>
        <w:t> (</w:t>
      </w:r>
      <w:r>
        <w:rPr>
          <w:rFonts w:hAnsi="Times New Roman" w:cs="Times New Roman"/>
          <w:color w:val="000000"/>
          <w:sz w:val="24"/>
          <w:szCs w:val="24"/>
        </w:rPr>
        <w:t>двенадцати</w:t>
      </w:r>
      <w:r>
        <w:rPr>
          <w:rFonts w:hAnsi="Times New Roman" w:cs="Times New Roman"/>
          <w:color w:val="000000"/>
          <w:sz w:val="24"/>
          <w:szCs w:val="24"/>
        </w:rPr>
        <w:t>) месяцев и ключи для активации лицензии.</w:t>
      </w:r>
    </w:p>
    <w:p>
      <w:pPr>
        <w:spacing w:line="240" w:lineRule="auto"/>
        <w:rPr>
          <w:rFonts w:hAnsi="Times New Roman" w:cs="Times New Roman"/>
          <w:color w:val="000000"/>
          <w:sz w:val="24"/>
          <w:szCs w:val="24"/>
        </w:rPr>
      </w:pPr>
      <w:r>
        <w:rPr>
          <w:rFonts w:hAnsi="Times New Roman" w:cs="Times New Roman"/>
          <w:color w:val="000000"/>
          <w:sz w:val="24"/>
          <w:szCs w:val="24"/>
        </w:rPr>
        <w:t>2. Техническая поддержка, которая включает в себя: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предоставление заказчику новых версий антивирусного программного обеспечения;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консультации на русском языке технического специалиста по телефону и/или через сеть интернет в рабочее время заказчика;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доступ к информационным и вспомогательным ресурсам правообладателя программного обеспечения, в том числе к антивирусным базам данных, содержащие описания сигнатур угроз и сетевых атак, а также методы борьбы с ними.</w:t>
      </w:r>
    </w:p>
    <w:p>
      <w:pPr>
        <w:spacing w:line="240" w:lineRule="auto"/>
        <w:rPr>
          <w:rFonts w:hAnsi="Times New Roman" w:cs="Times New Roman"/>
          <w:color w:val="000000"/>
          <w:sz w:val="24"/>
          <w:szCs w:val="24"/>
        </w:rPr>
      </w:pPr>
      <w:r>
        <w:rPr>
          <w:rFonts w:hAnsi="Times New Roman" w:cs="Times New Roman"/>
          <w:color w:val="000000"/>
          <w:sz w:val="24"/>
          <w:szCs w:val="24"/>
        </w:rPr>
        <w:t>Техническая поддержка осуществляется в течение срока действия прав на использование программного обеспечения.</w:t>
      </w:r>
    </w:p>
    <w:p>
      <w:pPr>
        <w:spacing w:line="240" w:lineRule="auto"/>
        <w:rPr>
          <w:rFonts w:hAnsi="Times New Roman" w:cs="Times New Roman"/>
          <w:color w:val="000000"/>
          <w:sz w:val="24"/>
          <w:szCs w:val="24"/>
        </w:rPr>
      </w:pPr>
      <w:r>
        <w:rPr>
          <w:rFonts w:hAnsi="Times New Roman" w:cs="Times New Roman"/>
          <w:color w:val="000000"/>
          <w:sz w:val="24"/>
          <w:szCs w:val="24"/>
        </w:rPr>
        <w:t>Программное обеспечение, право использовать которое предоставляется, должно соответствовать требованиям «ГОСТ Р 51188-98. Защита информации. Испытания программных средств на наличие компьютерных вирусов. Типовое руководство».</w:t>
      </w:r>
    </w:p>
    <w:p>
      <w:pPr>
        <w:spacing w:line="240" w:lineRule="auto"/>
        <w:rPr>
          <w:rFonts w:hAnsi="Times New Roman" w:cs="Times New Roman"/>
          <w:color w:val="000000"/>
          <w:sz w:val="24"/>
          <w:szCs w:val="24"/>
        </w:rPr>
      </w:pPr>
      <w:r>
        <w:rPr>
          <w:rFonts w:hAnsi="Times New Roman" w:cs="Times New Roman"/>
          <w:color w:val="000000"/>
          <w:sz w:val="24"/>
          <w:szCs w:val="24"/>
        </w:rPr>
        <w:t>Программное обеспечение, право использовать которое предоставляется, должно решать следующие задачи: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антивирусной защиты рабочих мест работников заказчика;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централизованного управления антивирусной сетью заказчика;</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получение сведения о вирусных инцидентах, происходящих во внутренней сети заказчика.</w:t>
      </w:r>
    </w:p>
    <w:p>
      <w:pPr>
        <w:spacing w:line="240" w:lineRule="auto"/>
        <w:rPr>
          <w:rFonts w:hAnsi="Times New Roman" w:cs="Times New Roman"/>
          <w:color w:val="000000"/>
          <w:sz w:val="24"/>
          <w:szCs w:val="24"/>
        </w:rPr>
      </w:pPr>
      <w:r>
        <w:rPr>
          <w:rFonts w:hAnsi="Times New Roman" w:cs="Times New Roman"/>
          <w:color w:val="000000"/>
          <w:sz w:val="24"/>
          <w:szCs w:val="24"/>
        </w:rPr>
        <w:t>Согласно Постановлению Правительства РФ от 16.11.2015 №1236 программное обеспечение должно быть включено в Единый реестр российского программного обеспечения https://reestr.digital.gov.ru/.</w:t>
      </w:r>
    </w:p>
    <w:p>
      <w:pPr>
        <w:spacing w:line="240" w:lineRule="auto"/>
        <w:rPr>
          <w:rFonts w:hAnsi="Times New Roman" w:cs="Times New Roman"/>
          <w:color w:val="000000"/>
          <w:sz w:val="24"/>
          <w:szCs w:val="24"/>
        </w:rPr>
      </w:pPr>
      <w:r>
        <w:rPr>
          <w:rFonts w:hAnsi="Times New Roman" w:cs="Times New Roman"/>
          <w:b/>
          <w:bCs/>
          <w:color w:val="000000"/>
          <w:sz w:val="24"/>
          <w:szCs w:val="24"/>
        </w:rPr>
        <w:t>Место оказания услуги:</w:t>
      </w:r>
      <w:r>
        <w:rPr>
          <w:rFonts w:hAnsi="Times New Roman" w:cs="Times New Roman"/>
          <w:color w:val="000000"/>
          <w:sz w:val="24"/>
          <w:szCs w:val="24"/>
        </w:rPr>
        <w:t>г. Москва, ул. Карла Либкнехта, д. 85.</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Передача неисключительных лицензионных прав на использование программного обеспечения осуществляется исполнителем в электронном виде на электронный адрес заказчика: </w:t>
      </w:r>
      <w:r>
        <w:rPr>
          <w:rFonts w:hAnsi="Times New Roman" w:cs="Times New Roman"/>
          <w:color w:val="000000"/>
          <w:sz w:val="24"/>
          <w:szCs w:val="24"/>
        </w:rPr>
        <w:t>12345@mail.ru</w:t>
      </w:r>
      <w:r>
        <w:rPr>
          <w:rFonts w:hAnsi="Times New Roman" w:cs="Times New Roman"/>
          <w:color w:val="000000"/>
          <w:sz w:val="24"/>
          <w:szCs w:val="24"/>
        </w:rPr>
        <w:t xml:space="preserve"> с последующей передачей сертификатов, свидетельств, подтверждающих оригинальность программного обеспечения по адресу: </w:t>
      </w:r>
      <w:r>
        <w:rPr>
          <w:rFonts w:hAnsi="Times New Roman" w:cs="Times New Roman"/>
          <w:color w:val="000000"/>
          <w:sz w:val="24"/>
          <w:szCs w:val="24"/>
        </w:rPr>
        <w:t>г. Москва, ул. Карла Либкнехта, д. 85</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Срок оказания услуги:</w:t>
      </w:r>
      <w:r>
        <w:rPr>
          <w:rFonts w:hAnsi="Times New Roman" w:cs="Times New Roman"/>
          <w:color w:val="000000"/>
          <w:sz w:val="24"/>
          <w:szCs w:val="24"/>
        </w:rPr>
        <w:t>с 01.06.2023 года по 30.06.2023 года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Исполнитель обязан передать заказчику права на ПО в течение </w:t>
      </w:r>
      <w:r>
        <w:rPr>
          <w:rFonts w:hAnsi="Times New Roman" w:cs="Times New Roman"/>
          <w:color w:val="000000"/>
          <w:sz w:val="24"/>
          <w:szCs w:val="24"/>
        </w:rPr>
        <w:t>трех рабочих</w:t>
      </w:r>
      <w:r>
        <w:rPr>
          <w:rFonts w:hAnsi="Times New Roman" w:cs="Times New Roman"/>
          <w:color w:val="000000"/>
          <w:sz w:val="24"/>
          <w:szCs w:val="24"/>
        </w:rPr>
        <w:t xml:space="preserve"> дней с момента получения заявки поданной заказчиком. Дата начала действия лицензионного ключа должна соответствовать дате активации ключа.</w:t>
      </w:r>
    </w:p>
    <w:p>
      <w:pPr>
        <w:spacing w:line="240" w:lineRule="auto"/>
        <w:rPr>
          <w:rFonts w:hAnsi="Times New Roman" w:cs="Times New Roman"/>
          <w:color w:val="000000"/>
          <w:sz w:val="24"/>
          <w:szCs w:val="24"/>
        </w:rPr>
      </w:pPr>
      <w:r>
        <w:rPr>
          <w:rFonts w:hAnsi="Times New Roman" w:cs="Times New Roman"/>
          <w:b/>
          <w:bCs/>
          <w:color w:val="000000"/>
          <w:sz w:val="24"/>
          <w:szCs w:val="24"/>
        </w:rPr>
        <w:t>Гарантийные обязательства</w:t>
      </w:r>
      <w:r>
        <w:rPr>
          <w:rFonts w:hAnsi="Times New Roman" w:cs="Times New Roman"/>
          <w:color w:val="000000"/>
          <w:sz w:val="24"/>
          <w:szCs w:val="24"/>
        </w:rPr>
        <w:t xml:space="preserve">: гарантийный срок на оказываемые услуги должен составлять не менее </w:t>
      </w:r>
      <w:r>
        <w:rPr>
          <w:rFonts w:hAnsi="Times New Roman" w:cs="Times New Roman"/>
          <w:color w:val="000000"/>
          <w:sz w:val="24"/>
          <w:szCs w:val="24"/>
        </w:rPr>
        <w:t>12</w:t>
      </w:r>
      <w:r>
        <w:rPr>
          <w:rFonts w:hAnsi="Times New Roman" w:cs="Times New Roman"/>
          <w:color w:val="000000"/>
          <w:sz w:val="24"/>
          <w:szCs w:val="24"/>
        </w:rPr>
        <w:t xml:space="preserve"> (</w:t>
      </w:r>
      <w:r>
        <w:rPr>
          <w:rFonts w:hAnsi="Times New Roman" w:cs="Times New Roman"/>
          <w:color w:val="000000"/>
          <w:sz w:val="24"/>
          <w:szCs w:val="24"/>
        </w:rPr>
        <w:t>двенадцати</w:t>
      </w:r>
      <w:r>
        <w:rPr>
          <w:rFonts w:hAnsi="Times New Roman" w:cs="Times New Roman"/>
          <w:color w:val="000000"/>
          <w:sz w:val="24"/>
          <w:szCs w:val="24"/>
        </w:rPr>
        <w:t>) месяцев с даты подписания сторонами документа о приемке.</w:t>
      </w:r>
    </w:p>
    <w:p>
      <w:pPr>
        <w:spacing w:line="240" w:lineRule="auto"/>
        <w:rPr>
          <w:rFonts w:hAnsi="Times New Roman" w:cs="Times New Roman"/>
          <w:color w:val="000000"/>
          <w:sz w:val="24"/>
          <w:szCs w:val="24"/>
        </w:rPr>
      </w:pPr>
      <w:r>
        <w:rPr>
          <w:rFonts w:hAnsi="Times New Roman" w:cs="Times New Roman"/>
          <w:b/>
          <w:bCs/>
          <w:color w:val="000000"/>
          <w:sz w:val="24"/>
          <w:szCs w:val="24"/>
        </w:rPr>
        <w:t>Особые условия оказания услуг</w:t>
      </w:r>
    </w:p>
    <w:p>
      <w:pPr>
        <w:spacing w:line="240" w:lineRule="auto"/>
        <w:rPr>
          <w:rFonts w:hAnsi="Times New Roman" w:cs="Times New Roman"/>
          <w:color w:val="000000"/>
          <w:sz w:val="24"/>
          <w:szCs w:val="24"/>
        </w:rPr>
      </w:pPr>
      <w:r>
        <w:rPr>
          <w:rFonts w:hAnsi="Times New Roman" w:cs="Times New Roman"/>
          <w:color w:val="000000"/>
          <w:sz w:val="24"/>
          <w:szCs w:val="24"/>
        </w:rPr>
        <w:t>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pPr>
        <w:spacing w:line="240" w:lineRule="auto"/>
        <w:rPr>
          <w:rFonts w:hAnsi="Times New Roman" w:cs="Times New Roman"/>
          <w:color w:val="000000"/>
          <w:sz w:val="24"/>
          <w:szCs w:val="24"/>
        </w:rPr>
      </w:pPr>
      <w:r>
        <w:rPr>
          <w:rFonts w:hAnsi="Times New Roman" w:cs="Times New Roman"/>
          <w:color w:val="000000"/>
          <w:sz w:val="24"/>
          <w:szCs w:val="24"/>
        </w:rPr>
        <w:t>Исполнитель должен предоставить документы,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исполнитель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исполнителю право на продление неисключительных прав антивирусного программного обеспечения.</w:t>
      </w:r>
    </w:p>
    <w:p>
      <w:pPr>
        <w:spacing w:line="240" w:lineRule="auto"/>
        <w:rPr>
          <w:rFonts w:hAnsi="Times New Roman" w:cs="Times New Roman"/>
          <w:color w:val="000000"/>
          <w:sz w:val="24"/>
          <w:szCs w:val="24"/>
        </w:rPr>
      </w:pPr>
      <w:r>
        <w:rPr>
          <w:rFonts w:hAnsi="Times New Roman" w:cs="Times New Roman"/>
          <w:color w:val="000000"/>
          <w:sz w:val="24"/>
          <w:szCs w:val="24"/>
        </w:rPr>
        <w:t>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pPr>
        <w:spacing w:line="240" w:lineRule="auto"/>
        <w:rPr>
          <w:rFonts w:hAnsi="Times New Roman" w:cs="Times New Roman"/>
          <w:color w:val="000000"/>
          <w:sz w:val="24"/>
          <w:szCs w:val="24"/>
        </w:rPr>
      </w:pPr>
      <w:r>
        <w:rPr>
          <w:rFonts w:hAnsi="Times New Roman" w:cs="Times New Roman"/>
          <w:color w:val="000000"/>
          <w:sz w:val="24"/>
          <w:szCs w:val="24"/>
        </w:rPr>
        <w:t>Исполнитель должен предоставить продление неисключительных прав на антивирусное программное обеспечение, в полном объеме.</w:t>
      </w:r>
    </w:p>
    <w:p>
      <w:pPr>
        <w:spacing w:line="240" w:lineRule="auto"/>
        <w:rPr>
          <w:rFonts w:hAnsi="Times New Roman" w:cs="Times New Roman"/>
          <w:color w:val="000000"/>
          <w:sz w:val="24"/>
          <w:szCs w:val="24"/>
        </w:rPr>
      </w:pPr>
      <w:r>
        <w:rPr>
          <w:rFonts w:hAnsi="Times New Roman" w:cs="Times New Roman"/>
          <w:color w:val="000000"/>
          <w:sz w:val="24"/>
          <w:szCs w:val="24"/>
        </w:rPr>
        <w:t>Неисключительные права на использование программного обеспечения переходят к заказчику с момента получения от исполнителя файла ключа активации и действуют в течение не менее 12 месяцев с момента активации ключа.</w:t>
      </w:r>
    </w:p>
    <w:p>
      <w:pPr>
        <w:spacing w:line="240" w:lineRule="auto"/>
        <w:rPr>
          <w:rFonts w:hAnsi="Times New Roman" w:cs="Times New Roman"/>
          <w:color w:val="000000"/>
          <w:sz w:val="24"/>
          <w:szCs w:val="24"/>
        </w:rPr>
      </w:pPr>
      <w:r>
        <w:rPr>
          <w:rFonts w:hAnsi="Times New Roman" w:cs="Times New Roman"/>
          <w:color w:val="000000"/>
          <w:sz w:val="24"/>
          <w:szCs w:val="24"/>
        </w:rPr>
        <w:t>При выявлении в ходе оказания услуг недостатков, исполнитель своими силами и средствами, безвозмездно исправляет их в указанные сроки по требованию заказчика.</w:t>
      </w:r>
    </w:p>
    <w:p>
      <w:pPr>
        <w:spacing w:line="240" w:lineRule="auto"/>
        <w:rPr>
          <w:rFonts w:hAnsi="Times New Roman" w:cs="Times New Roman"/>
          <w:color w:val="000000"/>
          <w:sz w:val="24"/>
          <w:szCs w:val="24"/>
        </w:rPr>
      </w:pPr>
      <w:r>
        <w:rPr>
          <w:rFonts w:hAnsi="Times New Roman" w:cs="Times New Roman"/>
          <w:b/>
          <w:bCs/>
          <w:color w:val="000000"/>
          <w:sz w:val="24"/>
          <w:szCs w:val="24"/>
        </w:rPr>
        <w:t>Обоснование невозможности поставить эквивалентное ПО</w:t>
      </w:r>
    </w:p>
    <w:p>
      <w:pPr>
        <w:spacing w:line="240" w:lineRule="auto"/>
        <w:rPr>
          <w:rFonts w:hAnsi="Times New Roman" w:cs="Times New Roman"/>
          <w:color w:val="000000"/>
          <w:sz w:val="24"/>
          <w:szCs w:val="24"/>
        </w:rPr>
      </w:pPr>
      <w:r>
        <w:rPr>
          <w:rFonts w:hAnsi="Times New Roman" w:cs="Times New Roman"/>
          <w:color w:val="000000"/>
          <w:sz w:val="24"/>
          <w:szCs w:val="24"/>
        </w:rPr>
        <w:t>Заказчик имеет действующие соглашение № 64FE-220302-106742-8-29849 на программное обеспечение Kaspersky Endpoint Security для бизнеса – Стандартный Russian Edition. 20-24 Node 1 year Renewal License на 20 защищаемых объектов. По этой причине предоставление эквивалента не предусмотрено, так как необходимо обеспечения совместимость приобретаемого ПО с ПО, используемым заказчиком</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Согласно пункту 1 части 1 статьи 33 Федерального закона № 44-ФЗ «О контрактной системе в сфере закупок товаров, работ, услуг для обеспечения государственных и муниципальных нужд» указывать товарный знак без слов «или эквивалент» возможно из-за требований по совместимости поставляемого ПО с существующей информационно-программной средой заказчика.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29ec9e29efb4b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